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E6" w:rsidRPr="009779E6" w:rsidRDefault="009779E6" w:rsidP="009779E6">
      <w:pPr>
        <w:widowControl/>
        <w:spacing w:line="360" w:lineRule="exact"/>
        <w:jc w:val="left"/>
        <w:rPr>
          <w:rFonts w:ascii="Arial" w:eastAsia="ＭＳ Ｐゴシック" w:hAnsi="Arial" w:cs="Arial"/>
          <w:b/>
          <w:bCs/>
          <w:sz w:val="22"/>
        </w:rPr>
      </w:pPr>
      <w:r w:rsidRPr="009779E6">
        <w:rPr>
          <w:rFonts w:ascii="Arial" w:eastAsia="ＭＳ Ｐゴシック" w:hAnsi="Arial" w:cs="Arial"/>
          <w:b/>
          <w:bCs/>
          <w:sz w:val="22"/>
        </w:rPr>
        <w:t>アッヴィについて</w:t>
      </w:r>
    </w:p>
    <w:p w:rsidR="009779E6" w:rsidRPr="009779E6" w:rsidRDefault="009779E6" w:rsidP="009779E6">
      <w:pPr>
        <w:widowControl/>
        <w:spacing w:line="360" w:lineRule="exact"/>
        <w:rPr>
          <w:rFonts w:ascii="Arial" w:eastAsia="ＭＳ Ｐゴシック" w:hAnsi="Arial" w:cs="Arial"/>
          <w:kern w:val="0"/>
          <w:sz w:val="22"/>
        </w:rPr>
      </w:pPr>
      <w:r w:rsidRPr="009779E6">
        <w:rPr>
          <w:rFonts w:ascii="Arial" w:eastAsia="ＭＳ Ｐゴシック" w:hAnsi="Arial" w:cs="Arial"/>
          <w:kern w:val="0"/>
          <w:sz w:val="22"/>
        </w:rPr>
        <w:t>アッヴィは、グローバルな研究開発型のバイオ医薬品企業です。世界で最も複雑かつ深刻な疾患に対する、革新的な先進治療薬の開発を行っています。その専門知識、献身的な社員、イノベーション実現に向けた独自の手法を通じて、自己免疫疾患、がん、</w:t>
      </w:r>
      <w:r w:rsidRPr="009779E6">
        <w:rPr>
          <w:rFonts w:ascii="Arial" w:eastAsia="ＭＳ Ｐゴシック" w:hAnsi="Arial" w:cs="Arial"/>
          <w:kern w:val="0"/>
          <w:sz w:val="22"/>
        </w:rPr>
        <w:t>C</w:t>
      </w:r>
      <w:r w:rsidRPr="009779E6">
        <w:rPr>
          <w:rFonts w:ascii="Arial" w:eastAsia="ＭＳ Ｐゴシック" w:hAnsi="Arial" w:cs="Arial"/>
          <w:kern w:val="0"/>
          <w:sz w:val="22"/>
        </w:rPr>
        <w:t>型慢性肝炎などのウイルス感染症およびニューロサイエンスの</w:t>
      </w:r>
      <w:r w:rsidRPr="009779E6">
        <w:rPr>
          <w:rFonts w:ascii="Arial" w:eastAsia="ＭＳ Ｐゴシック" w:hAnsi="Arial" w:cs="Arial"/>
          <w:kern w:val="0"/>
          <w:sz w:val="22"/>
        </w:rPr>
        <w:t>4</w:t>
      </w:r>
      <w:r w:rsidRPr="009779E6">
        <w:rPr>
          <w:rFonts w:ascii="Arial" w:eastAsia="ＭＳ Ｐゴシック" w:hAnsi="Arial" w:cs="Arial"/>
          <w:kern w:val="0"/>
          <w:sz w:val="22"/>
        </w:rPr>
        <w:t>つの主要治療領域での治療を大きく向上させることをミッションに掲げています。世界中の人々が持つ健康上の課題への解決策を進歩させるため、</w:t>
      </w:r>
      <w:r w:rsidRPr="009779E6">
        <w:rPr>
          <w:rFonts w:ascii="Arial" w:eastAsia="ＭＳ Ｐゴシック" w:hAnsi="Arial" w:cs="Arial"/>
          <w:kern w:val="0"/>
          <w:sz w:val="22"/>
        </w:rPr>
        <w:t>75</w:t>
      </w:r>
      <w:r w:rsidRPr="009779E6">
        <w:rPr>
          <w:rFonts w:ascii="Arial" w:eastAsia="ＭＳ Ｐゴシック" w:hAnsi="Arial" w:cs="Arial"/>
          <w:kern w:val="0"/>
          <w:sz w:val="22"/>
        </w:rPr>
        <w:t>カ国以上の国でアッヴィ社員が日々取り組んでいます。アッヴィの詳細については、</w:t>
      </w:r>
      <w:r w:rsidRPr="009779E6">
        <w:rPr>
          <w:rFonts w:ascii="Arial" w:eastAsia="ＭＳ Ｐゴシック" w:hAnsi="Arial" w:cs="Arial"/>
          <w:color w:val="0000FF"/>
          <w:kern w:val="0"/>
          <w:sz w:val="22"/>
          <w:u w:val="single"/>
        </w:rPr>
        <w:t>www.abbvie.com</w:t>
      </w:r>
      <w:r w:rsidRPr="009779E6">
        <w:rPr>
          <w:rFonts w:ascii="Arial" w:eastAsia="ＭＳ Ｐゴシック" w:hAnsi="Arial" w:cs="Arial"/>
          <w:kern w:val="0"/>
          <w:sz w:val="22"/>
        </w:rPr>
        <w:t xml:space="preserve"> </w:t>
      </w:r>
      <w:r w:rsidRPr="009779E6">
        <w:rPr>
          <w:rFonts w:ascii="Arial" w:eastAsia="ＭＳ Ｐゴシック" w:hAnsi="Arial" w:cs="Arial"/>
          <w:kern w:val="0"/>
          <w:sz w:val="22"/>
        </w:rPr>
        <w:t>をご覧ください。</w:t>
      </w:r>
      <w:r w:rsidRPr="009779E6">
        <w:rPr>
          <w:rFonts w:ascii="Arial" w:eastAsia="ＭＳ Ｐゴシック" w:hAnsi="Arial" w:cs="Arial"/>
          <w:kern w:val="0"/>
          <w:sz w:val="22"/>
        </w:rPr>
        <w:t>Twitter</w:t>
      </w:r>
      <w:r w:rsidRPr="009779E6">
        <w:rPr>
          <w:rFonts w:ascii="Arial" w:eastAsia="ＭＳ Ｐゴシック" w:hAnsi="Arial" w:cs="Arial"/>
          <w:kern w:val="0"/>
          <w:sz w:val="22"/>
        </w:rPr>
        <w:t>アカウント</w:t>
      </w:r>
      <w:r w:rsidRPr="009779E6">
        <w:rPr>
          <w:rFonts w:ascii="Arial" w:eastAsia="ＭＳ Ｐゴシック" w:hAnsi="Arial" w:cs="Times New Roman"/>
          <w:color w:val="4C4C4C"/>
          <w:kern w:val="0"/>
          <w:sz w:val="20"/>
          <w:szCs w:val="20"/>
        </w:rPr>
        <w:fldChar w:fldCharType="begin"/>
      </w:r>
      <w:r w:rsidRPr="009779E6">
        <w:rPr>
          <w:rFonts w:ascii="Arial" w:eastAsia="ＭＳ Ｐゴシック" w:hAnsi="Arial" w:cs="Arial"/>
          <w:color w:val="4C4C4C"/>
          <w:kern w:val="0"/>
          <w:sz w:val="22"/>
        </w:rPr>
        <w:instrText xml:space="preserve"> HYPERLINK "https://twitter.com/abbvie" </w:instrText>
      </w:r>
      <w:r w:rsidRPr="009779E6">
        <w:rPr>
          <w:rFonts w:ascii="Arial" w:eastAsia="ＭＳ Ｐゴシック" w:hAnsi="Arial" w:cs="Times New Roman"/>
          <w:color w:val="4C4C4C"/>
          <w:kern w:val="0"/>
          <w:sz w:val="20"/>
          <w:szCs w:val="20"/>
        </w:rPr>
        <w:fldChar w:fldCharType="separate"/>
      </w:r>
      <w:r w:rsidRPr="009779E6">
        <w:rPr>
          <w:rFonts w:ascii="Arial" w:eastAsia="ＭＳ Ｐゴシック" w:hAnsi="Arial" w:cs="Arial"/>
          <w:color w:val="0000FF"/>
          <w:kern w:val="0"/>
          <w:sz w:val="22"/>
          <w:u w:val="single"/>
        </w:rPr>
        <w:t>@abbvie</w:t>
      </w:r>
      <w:r w:rsidRPr="009779E6">
        <w:rPr>
          <w:rFonts w:ascii="Arial" w:eastAsia="ＭＳ Ｐゴシック" w:hAnsi="Arial" w:cs="Arial"/>
          <w:color w:val="0000FF"/>
          <w:kern w:val="0"/>
          <w:sz w:val="22"/>
          <w:u w:val="single"/>
        </w:rPr>
        <w:fldChar w:fldCharType="end"/>
      </w:r>
      <w:r w:rsidRPr="009779E6">
        <w:rPr>
          <w:rFonts w:ascii="Arial" w:eastAsia="ＭＳ Ｐゴシック" w:hAnsi="Arial" w:cs="Arial"/>
          <w:kern w:val="0"/>
          <w:sz w:val="22"/>
        </w:rPr>
        <w:t>、</w:t>
      </w:r>
      <w:r w:rsidRPr="009779E6">
        <w:rPr>
          <w:rFonts w:ascii="Arial" w:eastAsia="ＭＳ Ｐゴシック" w:hAnsi="Arial" w:cs="Times New Roman"/>
          <w:color w:val="4C4C4C"/>
          <w:kern w:val="0"/>
          <w:sz w:val="20"/>
          <w:szCs w:val="20"/>
        </w:rPr>
        <w:fldChar w:fldCharType="begin"/>
      </w:r>
      <w:r w:rsidRPr="009779E6">
        <w:rPr>
          <w:rFonts w:ascii="Arial" w:eastAsia="ＭＳ Ｐゴシック" w:hAnsi="Arial" w:cs="Arial"/>
          <w:color w:val="4C4C4C"/>
          <w:kern w:val="0"/>
          <w:sz w:val="22"/>
        </w:rPr>
        <w:instrText xml:space="preserve"> HYPERLINK "https://www.facebook.com/AbbVieGlobal" </w:instrText>
      </w:r>
      <w:r w:rsidRPr="009779E6">
        <w:rPr>
          <w:rFonts w:ascii="Arial" w:eastAsia="ＭＳ Ｐゴシック" w:hAnsi="Arial" w:cs="Times New Roman"/>
          <w:color w:val="4C4C4C"/>
          <w:kern w:val="0"/>
          <w:sz w:val="20"/>
          <w:szCs w:val="20"/>
        </w:rPr>
        <w:fldChar w:fldCharType="separate"/>
      </w:r>
      <w:r w:rsidRPr="009779E6">
        <w:rPr>
          <w:rFonts w:ascii="Arial" w:eastAsia="ＭＳ Ｐゴシック" w:hAnsi="Arial" w:cs="Arial"/>
          <w:color w:val="0000FF"/>
          <w:kern w:val="0"/>
          <w:sz w:val="22"/>
          <w:u w:val="single"/>
        </w:rPr>
        <w:t>Facebook</w:t>
      </w:r>
      <w:r w:rsidRPr="009779E6">
        <w:rPr>
          <w:rFonts w:ascii="Arial" w:eastAsia="ＭＳ Ｐゴシック" w:hAnsi="Arial" w:cs="Arial"/>
          <w:color w:val="0000FF"/>
          <w:kern w:val="0"/>
          <w:sz w:val="22"/>
          <w:u w:val="single"/>
        </w:rPr>
        <w:fldChar w:fldCharType="end"/>
      </w:r>
      <w:r w:rsidRPr="009779E6">
        <w:rPr>
          <w:rFonts w:ascii="Arial" w:eastAsia="ＭＳ Ｐゴシック" w:hAnsi="Arial" w:cs="Arial"/>
          <w:kern w:val="0"/>
          <w:sz w:val="22"/>
        </w:rPr>
        <w:t>や</w:t>
      </w:r>
      <w:r w:rsidRPr="009779E6">
        <w:rPr>
          <w:rFonts w:ascii="Arial" w:eastAsia="ＭＳ Ｐゴシック" w:hAnsi="Arial" w:cs="Times New Roman"/>
          <w:color w:val="4C4C4C"/>
          <w:kern w:val="0"/>
          <w:sz w:val="20"/>
          <w:szCs w:val="20"/>
        </w:rPr>
        <w:fldChar w:fldCharType="begin"/>
      </w:r>
      <w:r w:rsidRPr="009779E6">
        <w:rPr>
          <w:rFonts w:ascii="Arial" w:eastAsia="ＭＳ Ｐゴシック" w:hAnsi="Arial" w:cs="Arial"/>
          <w:color w:val="4C4C4C"/>
          <w:kern w:val="0"/>
          <w:sz w:val="22"/>
        </w:rPr>
        <w:instrText xml:space="preserve"> HYPERLINK "https://www.linkedin.com/company/abbvie" </w:instrText>
      </w:r>
      <w:r w:rsidRPr="009779E6">
        <w:rPr>
          <w:rFonts w:ascii="Arial" w:eastAsia="ＭＳ Ｐゴシック" w:hAnsi="Arial" w:cs="Times New Roman"/>
          <w:color w:val="4C4C4C"/>
          <w:kern w:val="0"/>
          <w:sz w:val="20"/>
          <w:szCs w:val="20"/>
        </w:rPr>
        <w:fldChar w:fldCharType="separate"/>
      </w:r>
      <w:r w:rsidRPr="009779E6">
        <w:rPr>
          <w:rFonts w:ascii="Arial" w:eastAsia="ＭＳ Ｐゴシック" w:hAnsi="Arial" w:cs="Arial"/>
          <w:color w:val="0000FF"/>
          <w:kern w:val="0"/>
          <w:sz w:val="22"/>
          <w:u w:val="single"/>
        </w:rPr>
        <w:t>LinkedIn</w:t>
      </w:r>
      <w:r w:rsidRPr="009779E6">
        <w:rPr>
          <w:rFonts w:ascii="Arial" w:eastAsia="ＭＳ Ｐゴシック" w:hAnsi="Arial" w:cs="Arial"/>
          <w:color w:val="0000FF"/>
          <w:kern w:val="0"/>
          <w:sz w:val="22"/>
          <w:u w:val="single"/>
        </w:rPr>
        <w:fldChar w:fldCharType="end"/>
      </w:r>
      <w:r w:rsidRPr="009779E6">
        <w:rPr>
          <w:rFonts w:ascii="Arial" w:eastAsia="ＭＳ Ｐゴシック" w:hAnsi="Arial" w:cs="Arial"/>
          <w:kern w:val="0"/>
          <w:sz w:val="22"/>
        </w:rPr>
        <w:t>でも情報を公開しています。</w:t>
      </w:r>
    </w:p>
    <w:p w:rsidR="009779E6" w:rsidRPr="009779E6" w:rsidRDefault="009779E6" w:rsidP="009779E6">
      <w:pPr>
        <w:widowControl/>
        <w:spacing w:line="360" w:lineRule="exact"/>
        <w:rPr>
          <w:rFonts w:ascii="Arial" w:eastAsia="ＭＳ Ｐゴシック" w:hAnsi="Arial" w:cs="Arial"/>
          <w:kern w:val="0"/>
          <w:sz w:val="22"/>
        </w:rPr>
      </w:pPr>
    </w:p>
    <w:p w:rsidR="009779E6" w:rsidRPr="009779E6" w:rsidRDefault="009779E6" w:rsidP="009779E6">
      <w:pPr>
        <w:widowControl/>
        <w:spacing w:line="360" w:lineRule="exact"/>
        <w:rPr>
          <w:rFonts w:ascii="Arial" w:eastAsia="ＭＳ Ｐゴシック" w:hAnsi="Arial" w:cs="Arial"/>
          <w:kern w:val="0"/>
          <w:sz w:val="22"/>
        </w:rPr>
      </w:pPr>
    </w:p>
    <w:p w:rsidR="009779E6" w:rsidRPr="009779E6" w:rsidRDefault="009779E6" w:rsidP="009779E6">
      <w:pPr>
        <w:keepNext/>
        <w:widowControl/>
        <w:spacing w:line="360" w:lineRule="exact"/>
        <w:jc w:val="left"/>
        <w:rPr>
          <w:rFonts w:ascii="Arial" w:eastAsia="ＭＳ Ｐゴシック" w:hAnsi="Arial" w:cs="Arial"/>
          <w:b/>
          <w:kern w:val="0"/>
          <w:sz w:val="22"/>
        </w:rPr>
      </w:pPr>
      <w:r w:rsidRPr="009779E6">
        <w:rPr>
          <w:rFonts w:ascii="Arial" w:eastAsia="ＭＳ Ｐゴシック" w:hAnsi="Arial" w:cs="Arial"/>
          <w:b/>
          <w:kern w:val="0"/>
          <w:sz w:val="22"/>
        </w:rPr>
        <w:t>アッヴィ　今後の見通しに関する陳述</w:t>
      </w:r>
    </w:p>
    <w:p w:rsidR="009779E6" w:rsidRPr="009779E6" w:rsidRDefault="009779E6" w:rsidP="009779E6">
      <w:pPr>
        <w:widowControl/>
        <w:spacing w:line="360" w:lineRule="exact"/>
        <w:jc w:val="left"/>
        <w:rPr>
          <w:rFonts w:ascii="Arial" w:eastAsia="ＭＳ Ｐゴシック" w:hAnsi="Arial" w:cs="Arial"/>
          <w:kern w:val="0"/>
          <w:sz w:val="22"/>
        </w:rPr>
      </w:pPr>
      <w:r w:rsidRPr="009779E6">
        <w:rPr>
          <w:rFonts w:ascii="Arial" w:eastAsia="ＭＳ Ｐゴシック" w:hAnsi="Arial" w:cs="Arial"/>
          <w:kern w:val="0"/>
          <w:sz w:val="22"/>
        </w:rPr>
        <w:t>本リリースにおける記載には、</w:t>
      </w:r>
      <w:r w:rsidRPr="009779E6">
        <w:rPr>
          <w:rFonts w:ascii="Arial" w:eastAsia="ＭＳ Ｐゴシック" w:hAnsi="Arial" w:cs="Arial"/>
          <w:kern w:val="0"/>
          <w:sz w:val="22"/>
        </w:rPr>
        <w:t>1995</w:t>
      </w:r>
      <w:r w:rsidRPr="009779E6">
        <w:rPr>
          <w:rFonts w:ascii="Arial" w:eastAsia="ＭＳ Ｐゴシック" w:hAnsi="Arial" w:cs="Arial"/>
          <w:kern w:val="0"/>
          <w:sz w:val="22"/>
        </w:rPr>
        <w:t>年米国私募証券訴訟改革法に示される「今後の見通しに関する陳述」が含まれています。「確信」「期待」「予測」「計画」という言葉およびそれに類する表現は、一般に将来予想に関する陳述となります。当社からの注意喚起として、このような将来予想に関する陳述はリスクおよび不確実性による影響を受け、実際の結果と将来予想に関する陳述での予測との間に大幅な相違が生じる可能性があります。このようなリスクおよび不確実性には、知的財産に対する脅威、他社製品との競合、研究および開発プロセスに特有の困難、敵対的訴訟または政府による介入、業界に関連する法律および規制の変更などがあります。</w:t>
      </w:r>
    </w:p>
    <w:p w:rsidR="009779E6" w:rsidRPr="009779E6" w:rsidRDefault="009779E6" w:rsidP="009779E6">
      <w:pPr>
        <w:widowControl/>
        <w:spacing w:line="360" w:lineRule="exact"/>
        <w:jc w:val="left"/>
        <w:rPr>
          <w:rFonts w:ascii="Arial" w:eastAsia="ＭＳ Ｐゴシック" w:hAnsi="Arial" w:cs="Arial"/>
          <w:kern w:val="0"/>
          <w:sz w:val="22"/>
        </w:rPr>
      </w:pPr>
    </w:p>
    <w:p w:rsidR="009779E6" w:rsidRPr="009779E6" w:rsidRDefault="009779E6" w:rsidP="009779E6">
      <w:pPr>
        <w:widowControl/>
        <w:spacing w:line="360" w:lineRule="exact"/>
        <w:jc w:val="left"/>
        <w:rPr>
          <w:rFonts w:ascii="Arial" w:eastAsia="ＭＳ Ｐゴシック" w:hAnsi="Arial" w:cs="Arial"/>
          <w:kern w:val="0"/>
          <w:sz w:val="22"/>
        </w:rPr>
      </w:pPr>
      <w:r w:rsidRPr="009779E6">
        <w:rPr>
          <w:rFonts w:ascii="Arial" w:eastAsia="ＭＳ Ｐゴシック" w:hAnsi="Arial" w:cs="Arial"/>
          <w:kern w:val="0"/>
          <w:sz w:val="22"/>
        </w:rPr>
        <w:t>アッヴィの経営に影響を及ぼす可能性のある経済、競合状況、政府、科学技術およびその他の要因については、</w:t>
      </w:r>
      <w:r w:rsidRPr="009779E6">
        <w:rPr>
          <w:rFonts w:ascii="Arial" w:eastAsia="ＭＳ Ｐゴシック" w:hAnsi="Arial" w:cs="Arial"/>
          <w:kern w:val="0"/>
          <w:sz w:val="22"/>
        </w:rPr>
        <w:t>Securities and Exchange Commission</w:t>
      </w:r>
      <w:r w:rsidRPr="009779E6">
        <w:rPr>
          <w:rFonts w:ascii="Arial" w:eastAsia="ＭＳ Ｐゴシック" w:hAnsi="Arial" w:cs="Arial"/>
          <w:kern w:val="0"/>
          <w:sz w:val="22"/>
        </w:rPr>
        <w:t>（米国証券取引委員会）に提出済みのアッヴィの</w:t>
      </w:r>
      <w:r w:rsidRPr="009779E6">
        <w:rPr>
          <w:rFonts w:ascii="Arial" w:eastAsia="ＭＳ Ｐゴシック" w:hAnsi="Arial" w:cs="Arial"/>
          <w:kern w:val="0"/>
          <w:sz w:val="22"/>
        </w:rPr>
        <w:t>2017</w:t>
      </w:r>
      <w:r w:rsidRPr="009779E6">
        <w:rPr>
          <w:rFonts w:ascii="Arial" w:eastAsia="ＭＳ Ｐゴシック" w:hAnsi="Arial" w:cs="Arial"/>
          <w:kern w:val="0"/>
          <w:sz w:val="22"/>
        </w:rPr>
        <w:t>年度アニュアルレポート（</w:t>
      </w:r>
      <w:r w:rsidRPr="009779E6">
        <w:rPr>
          <w:rFonts w:ascii="Arial" w:eastAsia="ＭＳ Ｐゴシック" w:hAnsi="Arial" w:cs="Arial"/>
          <w:kern w:val="0"/>
          <w:sz w:val="22"/>
        </w:rPr>
        <w:t>10-K</w:t>
      </w:r>
      <w:r w:rsidRPr="009779E6">
        <w:rPr>
          <w:rFonts w:ascii="Arial" w:eastAsia="ＭＳ Ｐゴシック" w:hAnsi="Arial" w:cs="Arial"/>
          <w:kern w:val="0"/>
          <w:sz w:val="22"/>
        </w:rPr>
        <w:t>書式）の</w:t>
      </w:r>
      <w:r w:rsidRPr="009779E6">
        <w:rPr>
          <w:rFonts w:ascii="Arial" w:eastAsia="ＭＳ Ｐゴシック" w:hAnsi="Arial" w:cs="Arial"/>
          <w:kern w:val="0"/>
          <w:sz w:val="22"/>
        </w:rPr>
        <w:t>1A</w:t>
      </w:r>
      <w:r w:rsidRPr="009779E6">
        <w:rPr>
          <w:rFonts w:ascii="Arial" w:eastAsia="ＭＳ Ｐゴシック" w:hAnsi="Arial" w:cs="Arial"/>
          <w:kern w:val="0"/>
          <w:sz w:val="22"/>
        </w:rPr>
        <w:t>項「リスク要因」に記載しています。アッヴィは、法律で要求される場合を除き、本リリースの発表後に発生した出来事または変化によって、今後の見通しに関する陳述を更新する義務を負わないものとします。</w:t>
      </w:r>
    </w:p>
    <w:p w:rsidR="009779E6" w:rsidRPr="009779E6" w:rsidRDefault="009779E6" w:rsidP="009779E6">
      <w:pPr>
        <w:widowControl/>
        <w:spacing w:line="360" w:lineRule="exact"/>
        <w:jc w:val="left"/>
        <w:rPr>
          <w:rFonts w:ascii="Arial" w:eastAsia="ＭＳ Ｐゴシック" w:hAnsi="Arial" w:cs="Arial"/>
          <w:kern w:val="0"/>
          <w:sz w:val="22"/>
        </w:rPr>
      </w:pPr>
    </w:p>
    <w:p w:rsidR="009779E6" w:rsidRPr="009779E6" w:rsidRDefault="009779E6" w:rsidP="009779E6">
      <w:pPr>
        <w:widowControl/>
        <w:spacing w:line="360" w:lineRule="exact"/>
        <w:jc w:val="left"/>
        <w:rPr>
          <w:rFonts w:ascii="Arial" w:eastAsia="ＭＳ Ｐゴシック" w:hAnsi="Arial" w:cs="Arial"/>
          <w:kern w:val="0"/>
          <w:sz w:val="22"/>
        </w:rPr>
      </w:pPr>
    </w:p>
    <w:p w:rsidR="009779E6" w:rsidRPr="009779E6" w:rsidRDefault="009779E6" w:rsidP="009779E6">
      <w:pPr>
        <w:widowControl/>
        <w:spacing w:line="360" w:lineRule="exact"/>
        <w:jc w:val="left"/>
        <w:rPr>
          <w:rFonts w:ascii="Arial" w:eastAsia="ＭＳ Ｐゴシック" w:hAnsi="Arial" w:cs="Arial"/>
          <w:kern w:val="0"/>
          <w:sz w:val="18"/>
        </w:rPr>
      </w:pPr>
      <w:r w:rsidRPr="009779E6">
        <w:rPr>
          <w:rFonts w:ascii="Arial" w:eastAsia="ＭＳ Ｐゴシック" w:hAnsi="Arial" w:cs="Arial"/>
          <w:kern w:val="0"/>
          <w:sz w:val="18"/>
        </w:rPr>
        <w:t xml:space="preserve">1 </w:t>
      </w:r>
      <w:proofErr w:type="spellStart"/>
      <w:r w:rsidRPr="009779E6">
        <w:rPr>
          <w:rFonts w:ascii="Arial" w:eastAsia="ＭＳ Ｐゴシック" w:hAnsi="Arial" w:cs="Arial"/>
          <w:kern w:val="0"/>
          <w:sz w:val="18"/>
        </w:rPr>
        <w:t>Hallek</w:t>
      </w:r>
      <w:proofErr w:type="spellEnd"/>
      <w:r w:rsidRPr="009779E6">
        <w:rPr>
          <w:rFonts w:ascii="Arial" w:eastAsia="ＭＳ Ｐゴシック" w:hAnsi="Arial" w:cs="Arial"/>
          <w:kern w:val="0"/>
          <w:sz w:val="18"/>
        </w:rPr>
        <w:t xml:space="preserve"> M, et al. Guidelines for diagnosis, indications for treatment, response assessment and supportive management of chronic lymphocytic leukemia. Blood. 2018;131(25):2745-2760.</w:t>
      </w:r>
    </w:p>
    <w:p w:rsidR="009779E6" w:rsidRPr="009779E6" w:rsidRDefault="009779E6" w:rsidP="009779E6">
      <w:pPr>
        <w:widowControl/>
        <w:spacing w:line="360" w:lineRule="exact"/>
        <w:jc w:val="left"/>
        <w:rPr>
          <w:rFonts w:ascii="Arial" w:eastAsia="ＭＳ Ｐゴシック" w:hAnsi="Arial" w:cs="Arial"/>
          <w:kern w:val="0"/>
          <w:sz w:val="18"/>
        </w:rPr>
      </w:pPr>
      <w:r w:rsidRPr="009779E6">
        <w:rPr>
          <w:rFonts w:ascii="Arial" w:eastAsia="ＭＳ Ｐゴシック" w:hAnsi="Arial" w:cs="Arial"/>
          <w:kern w:val="0"/>
          <w:sz w:val="18"/>
        </w:rPr>
        <w:t>2 VENCLEXTA (</w:t>
      </w:r>
      <w:proofErr w:type="spellStart"/>
      <w:r w:rsidRPr="009779E6">
        <w:rPr>
          <w:rFonts w:ascii="Arial" w:eastAsia="ＭＳ Ｐゴシック" w:hAnsi="Arial" w:cs="Arial"/>
          <w:kern w:val="0"/>
          <w:sz w:val="18"/>
        </w:rPr>
        <w:t>venetoclax</w:t>
      </w:r>
      <w:proofErr w:type="spellEnd"/>
      <w:r w:rsidRPr="009779E6">
        <w:rPr>
          <w:rFonts w:ascii="Arial" w:eastAsia="ＭＳ Ｐゴシック" w:hAnsi="Arial" w:cs="Arial"/>
          <w:kern w:val="0"/>
          <w:sz w:val="18"/>
        </w:rPr>
        <w:t xml:space="preserve"> tablets) [Package Insert]. North Chicago, Ill.: AbbVie Inc.</w:t>
      </w:r>
    </w:p>
    <w:p w:rsidR="009779E6" w:rsidRPr="009779E6" w:rsidRDefault="009779E6" w:rsidP="009779E6">
      <w:pPr>
        <w:widowControl/>
        <w:spacing w:line="360" w:lineRule="exact"/>
        <w:jc w:val="left"/>
        <w:rPr>
          <w:rFonts w:ascii="Arial" w:eastAsia="ＭＳ Ｐゴシック" w:hAnsi="Arial" w:cs="Arial"/>
          <w:kern w:val="0"/>
          <w:sz w:val="18"/>
        </w:rPr>
      </w:pPr>
      <w:r w:rsidRPr="009779E6">
        <w:rPr>
          <w:rFonts w:ascii="Arial" w:eastAsia="ＭＳ Ｐゴシック" w:hAnsi="Arial" w:cs="Arial"/>
          <w:kern w:val="0"/>
          <w:sz w:val="18"/>
        </w:rPr>
        <w:t>3 American Cancer Society (2018). Chronic Lymphocytic Leukemia (CLL). https://www.cancer.org/content/dam/CRC/PDF/Public/8679.00.pdf. Accessed August 2018.</w:t>
      </w:r>
    </w:p>
    <w:p w:rsidR="009779E6" w:rsidRPr="009779E6" w:rsidRDefault="009779E6" w:rsidP="009779E6">
      <w:pPr>
        <w:widowControl/>
        <w:spacing w:line="360" w:lineRule="exact"/>
        <w:jc w:val="left"/>
        <w:rPr>
          <w:rFonts w:ascii="Arial" w:eastAsia="ＭＳ Ｐゴシック" w:hAnsi="Arial" w:cs="Arial"/>
          <w:kern w:val="0"/>
          <w:sz w:val="18"/>
        </w:rPr>
      </w:pPr>
      <w:r w:rsidRPr="009779E6">
        <w:rPr>
          <w:rFonts w:ascii="Arial" w:eastAsia="ＭＳ Ｐゴシック" w:hAnsi="Arial" w:cs="Arial"/>
          <w:kern w:val="0"/>
          <w:sz w:val="18"/>
        </w:rPr>
        <w:t>4 Farrell A. Grant-Breakthrough Therapy Designation (CLL). Department of Health and Human Services. 2016:1-3.</w:t>
      </w:r>
    </w:p>
    <w:p w:rsidR="009779E6" w:rsidRPr="009779E6" w:rsidRDefault="009779E6" w:rsidP="009779E6">
      <w:pPr>
        <w:widowControl/>
        <w:spacing w:line="360" w:lineRule="exact"/>
        <w:jc w:val="left"/>
        <w:rPr>
          <w:rFonts w:ascii="Arial" w:eastAsia="ＭＳ Ｐゴシック" w:hAnsi="Arial" w:cs="Arial"/>
          <w:kern w:val="0"/>
          <w:sz w:val="18"/>
        </w:rPr>
      </w:pPr>
      <w:r w:rsidRPr="009779E6">
        <w:rPr>
          <w:rFonts w:ascii="Arial" w:eastAsia="ＭＳ Ｐゴシック" w:hAnsi="Arial" w:cs="Arial"/>
          <w:kern w:val="0"/>
          <w:sz w:val="18"/>
        </w:rPr>
        <w:lastRenderedPageBreak/>
        <w:t>5 Clinicaltrials.gov (2018). NCT01994837: A Phase 2 Study of ABT-199 in subjects with Acute Myelogenous Leukemia (AML). Accessed August 2018.</w:t>
      </w:r>
    </w:p>
    <w:p w:rsidR="009779E6" w:rsidRPr="009779E6" w:rsidRDefault="009779E6" w:rsidP="009779E6">
      <w:pPr>
        <w:widowControl/>
        <w:spacing w:line="360" w:lineRule="exact"/>
        <w:jc w:val="left"/>
        <w:rPr>
          <w:rFonts w:ascii="Arial" w:eastAsia="ＭＳ Ｐゴシック" w:hAnsi="Arial" w:cs="Arial"/>
          <w:kern w:val="0"/>
          <w:sz w:val="18"/>
        </w:rPr>
      </w:pPr>
      <w:r w:rsidRPr="009779E6">
        <w:rPr>
          <w:rFonts w:ascii="Arial" w:eastAsia="ＭＳ Ｐゴシック" w:hAnsi="Arial" w:cs="Arial"/>
          <w:kern w:val="0"/>
          <w:sz w:val="18"/>
        </w:rPr>
        <w:t>6 Clinicaltrials.gov (2018). NCT01794520: Study evaluating ABT-199 in subjects with relapsed or refractory Multiple Myeloma. Accessed August 2018.</w:t>
      </w:r>
    </w:p>
    <w:p w:rsidR="009779E6" w:rsidRPr="009779E6" w:rsidRDefault="009779E6" w:rsidP="009779E6">
      <w:pPr>
        <w:widowControl/>
        <w:spacing w:line="360" w:lineRule="exact"/>
        <w:jc w:val="left"/>
        <w:rPr>
          <w:rFonts w:ascii="Arial" w:eastAsia="ＭＳ Ｐゴシック" w:hAnsi="Arial" w:cs="Arial"/>
          <w:kern w:val="0"/>
          <w:sz w:val="18"/>
        </w:rPr>
      </w:pPr>
      <w:r w:rsidRPr="009779E6">
        <w:rPr>
          <w:rFonts w:ascii="Arial" w:eastAsia="ＭＳ Ｐゴシック" w:hAnsi="Arial" w:cs="Arial"/>
          <w:kern w:val="0"/>
          <w:sz w:val="18"/>
        </w:rPr>
        <w:t>7 Clinicaltrials.gov (2018). NCT01328626: A Phase 1 study evaluating the safety and pharmacokinetics of ABT-199 in subjects with relapsed or refractory Chronic Lymphocytic Leukemia and Non-Hodgkin Lymphoma. Accessed August 2018.</w:t>
      </w:r>
    </w:p>
    <w:p w:rsidR="009779E6" w:rsidRPr="009779E6" w:rsidRDefault="009779E6" w:rsidP="009779E6">
      <w:pPr>
        <w:widowControl/>
        <w:spacing w:line="360" w:lineRule="exact"/>
        <w:jc w:val="left"/>
        <w:rPr>
          <w:rFonts w:ascii="Arial" w:eastAsia="ＭＳ Ｐゴシック" w:hAnsi="Arial" w:cs="Arial"/>
          <w:kern w:val="0"/>
          <w:sz w:val="18"/>
        </w:rPr>
      </w:pPr>
      <w:r w:rsidRPr="009779E6">
        <w:rPr>
          <w:rFonts w:ascii="Arial" w:eastAsia="ＭＳ Ｐゴシック" w:hAnsi="Arial" w:cs="Arial"/>
          <w:kern w:val="0"/>
          <w:sz w:val="18"/>
        </w:rPr>
        <w:t>8 Clinicaltrials.gov (2018). NCT01889186: A study of the efficacy of ABT-199 in subjects with relapsed/refractory or previously untreated chronic lymphocytic leukemia with the 17p deletion. Accessed August 2018.</w:t>
      </w:r>
    </w:p>
    <w:p w:rsidR="009779E6" w:rsidRPr="009779E6" w:rsidRDefault="009779E6" w:rsidP="009779E6">
      <w:pPr>
        <w:widowControl/>
        <w:spacing w:line="360" w:lineRule="exact"/>
        <w:jc w:val="left"/>
        <w:rPr>
          <w:rFonts w:ascii="Arial" w:eastAsia="ＭＳ Ｐゴシック" w:hAnsi="Arial" w:cs="Arial"/>
          <w:kern w:val="0"/>
          <w:sz w:val="18"/>
        </w:rPr>
      </w:pPr>
      <w:r w:rsidRPr="009779E6">
        <w:rPr>
          <w:rFonts w:ascii="Arial" w:eastAsia="ＭＳ Ｐゴシック" w:hAnsi="Arial" w:cs="Arial"/>
          <w:kern w:val="0"/>
          <w:sz w:val="18"/>
        </w:rPr>
        <w:t>9 U.S. Food and Drug Administration (2016). News and Events: FDA approves new drug for chronic lymphocytic leukemia in patients with a specific chromosomal abnormality. https://www.fda.gov/NewsEvents/Newsroom/PressAnnouncements/ucm495253.htm. Accessed August 2018.</w:t>
      </w:r>
    </w:p>
    <w:p w:rsidR="00030141" w:rsidRPr="009779E6" w:rsidRDefault="00030141" w:rsidP="009779E6">
      <w:bookmarkStart w:id="0" w:name="_GoBack"/>
      <w:bookmarkEnd w:id="0"/>
    </w:p>
    <w:sectPr w:rsidR="00030141" w:rsidRPr="009779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E6"/>
    <w:rsid w:val="00030141"/>
    <w:rsid w:val="0097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A30424-BA3A-446C-B4C7-6DAD09D6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t.nakao</dc:creator>
  <cp:keywords/>
  <dc:description/>
  <cp:lastModifiedBy>t.nakao</cp:lastModifiedBy>
  <cp:revision>1</cp:revision>
  <dcterms:created xsi:type="dcterms:W3CDTF">2018-10-01T06:17:00Z</dcterms:created>
  <dcterms:modified xsi:type="dcterms:W3CDTF">2018-10-01T06:18:00Z</dcterms:modified>
</cp:coreProperties>
</file>