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5F" w:rsidRPr="00AB4F5F" w:rsidRDefault="00AB4F5F" w:rsidP="00AB4F5F">
      <w:pPr>
        <w:widowControl/>
        <w:spacing w:afterLines="30" w:after="72"/>
        <w:ind w:left="180" w:hangingChars="100" w:hanging="180"/>
        <w:jc w:val="left"/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</w:pPr>
      <w:r w:rsidRPr="00AB4F5F"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  <w:t>1 U.S. Food and Drug Administration (2018). "Real-Time Review of Drug Applications is Now a Reality." September 20, 2018 issue.</w:t>
      </w:r>
    </w:p>
    <w:p w:rsidR="00AB4F5F" w:rsidRPr="00AB4F5F" w:rsidRDefault="00AB4F5F" w:rsidP="00AB4F5F">
      <w:pPr>
        <w:widowControl/>
        <w:spacing w:afterLines="30" w:after="72"/>
        <w:ind w:left="180" w:hangingChars="100" w:hanging="180"/>
        <w:jc w:val="left"/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</w:pPr>
      <w:r w:rsidRPr="00AB4F5F"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  <w:t>2 American Cancer Society (2018). Chronic Lymphocytic Leukemia (CLL). http://www.cancer.org/acs/groups/cid/documents/webcontent/003111-pdf.pdf. Accessed January 2019.</w:t>
      </w:r>
    </w:p>
    <w:p w:rsidR="00AB4F5F" w:rsidRPr="00AB4F5F" w:rsidRDefault="00AB4F5F" w:rsidP="00AB4F5F">
      <w:pPr>
        <w:widowControl/>
        <w:spacing w:afterLines="30" w:after="72"/>
        <w:ind w:left="180" w:hangingChars="100" w:hanging="180"/>
        <w:jc w:val="left"/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</w:pPr>
      <w:r w:rsidRPr="00AB4F5F"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  <w:t>3 Clinicaltrials.gov (2018). NCT02242942: A Study to Compare the Efficacy and Safety of Obinutuzumab + Venetoclax (GDC-0199) Versus Obinutuzumab + Chlorambucil in Participants With Chronic Lymphocytic Leukemia. https://clinicaltrials.gov/ct2/show/NCT02242942. Accessed February 2019.</w:t>
      </w:r>
    </w:p>
    <w:p w:rsidR="00AB4F5F" w:rsidRPr="00AB4F5F" w:rsidRDefault="00AB4F5F" w:rsidP="00AB4F5F">
      <w:pPr>
        <w:widowControl/>
        <w:spacing w:afterLines="30" w:after="72"/>
        <w:jc w:val="left"/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</w:pPr>
      <w:r w:rsidRPr="00AB4F5F"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  <w:t>4 VENCLEXTA (venetoclax) [Package Insert]. North Chicago, Ill.: AbbVie Inc.</w:t>
      </w:r>
    </w:p>
    <w:p w:rsidR="00AB4F5F" w:rsidRPr="00AB4F5F" w:rsidRDefault="00AB4F5F" w:rsidP="00AB4F5F">
      <w:pPr>
        <w:widowControl/>
        <w:spacing w:afterLines="30" w:after="72"/>
        <w:ind w:left="180" w:hangingChars="100" w:hanging="180"/>
        <w:jc w:val="left"/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</w:pPr>
      <w:r w:rsidRPr="00AB4F5F"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  <w:t>5 U.S. Food and Drug Administration (2016). News and Events: FDA approves new drug for chronic lymphocytic leukemia in patients with a specific chromosomal abnormality. https://www.fda.gov/newsevents/newsroom/pressannouncements/ucm495253.htm. Accessed January 2019.</w:t>
      </w:r>
    </w:p>
    <w:p w:rsidR="00AB4F5F" w:rsidRPr="00AB4F5F" w:rsidRDefault="00AB4F5F" w:rsidP="00AB4F5F">
      <w:pPr>
        <w:widowControl/>
        <w:ind w:left="180" w:hangingChars="100" w:hanging="180"/>
        <w:jc w:val="left"/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</w:pPr>
      <w:r w:rsidRPr="00AB4F5F">
        <w:rPr>
          <w:rFonts w:ascii="Arial" w:eastAsia="ＭＳ Ｐゴシック" w:hAnsi="Arial" w:cs="Arial" w:hint="eastAsia"/>
          <w:color w:val="4C4C4C"/>
          <w:kern w:val="0"/>
          <w:sz w:val="18"/>
          <w:szCs w:val="20"/>
          <w:lang w:val="es-CO"/>
        </w:rPr>
        <w:t>6 U.S. Food and Drug Administration (2018). Approved Drugs: FDA approves venetoclax in combination for AML in adults. https://www.fda.gov/Drugs/InformationOnDrugs/ApprovedDrugs/ucm626499.htm. Accessed January 2019.</w:t>
      </w:r>
    </w:p>
    <w:p w:rsidR="00AB4F5F" w:rsidRPr="00AB4F5F" w:rsidRDefault="00AB4F5F" w:rsidP="00AB4F5F">
      <w:pPr>
        <w:widowControl/>
        <w:spacing w:line="360" w:lineRule="exact"/>
        <w:rPr>
          <w:rFonts w:ascii="Arial" w:eastAsia="ＭＳ Ｐゴシック" w:hAnsi="Arial" w:cs="Arial" w:hint="eastAsia"/>
          <w:kern w:val="0"/>
          <w:sz w:val="22"/>
          <w:szCs w:val="20"/>
        </w:rPr>
      </w:pPr>
    </w:p>
    <w:p w:rsidR="00AB4F5F" w:rsidRPr="00AB4F5F" w:rsidRDefault="00AB4F5F">
      <w:pPr>
        <w:rPr>
          <w:rFonts w:hint="eastAsia"/>
          <w:lang w:val="es-CO"/>
        </w:rPr>
      </w:pPr>
      <w:bookmarkStart w:id="0" w:name="_GoBack"/>
      <w:bookmarkEnd w:id="0"/>
    </w:p>
    <w:sectPr w:rsidR="00AB4F5F" w:rsidRPr="00AB4F5F" w:rsidSect="0068495D">
      <w:headerReference w:type="default" r:id="rId4"/>
      <w:footerReference w:type="even" r:id="rId5"/>
      <w:footerReference w:type="default" r:id="rId6"/>
      <w:pgSz w:w="11907" w:h="16839" w:code="9"/>
      <w:pgMar w:top="2835" w:right="1440" w:bottom="851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2" w:rsidRDefault="00AB4F5F" w:rsidP="009454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BA2" w:rsidRDefault="00AB4F5F" w:rsidP="00071BA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BA2" w:rsidRDefault="00AB4F5F" w:rsidP="00071BA2">
    <w:pPr>
      <w:pStyle w:val="a5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2B7" w:rsidRDefault="00AB4F5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-6350</wp:posOffset>
          </wp:positionH>
          <wp:positionV relativeFrom="page">
            <wp:posOffset>554355</wp:posOffset>
          </wp:positionV>
          <wp:extent cx="5732145" cy="6325870"/>
          <wp:effectExtent l="0" t="0" r="1905" b="0"/>
          <wp:wrapNone/>
          <wp:docPr id="1" name="図 1" descr="AbbVie_Letterhead_MR01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AbbVie_Letterhead_MR01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22"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32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5F"/>
    <w:rsid w:val="00A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E20BB"/>
  <w15:chartTrackingRefBased/>
  <w15:docId w15:val="{ED6C1FFB-94B3-4EF0-A1B1-994C5D01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4F5F"/>
  </w:style>
  <w:style w:type="paragraph" w:styleId="a5">
    <w:name w:val="footer"/>
    <w:basedOn w:val="a"/>
    <w:link w:val="a6"/>
    <w:uiPriority w:val="99"/>
    <w:semiHidden/>
    <w:unhideWhenUsed/>
    <w:rsid w:val="00AB4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4F5F"/>
  </w:style>
  <w:style w:type="character" w:styleId="a7">
    <w:name w:val="page number"/>
    <w:basedOn w:val="a0"/>
    <w:rsid w:val="00AB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共和 中尾</dc:creator>
  <cp:keywords/>
  <dc:description/>
  <cp:lastModifiedBy>共和 中尾</cp:lastModifiedBy>
  <cp:revision>1</cp:revision>
  <dcterms:created xsi:type="dcterms:W3CDTF">2019-03-25T04:28:00Z</dcterms:created>
  <dcterms:modified xsi:type="dcterms:W3CDTF">2019-03-25T04:29:00Z</dcterms:modified>
</cp:coreProperties>
</file>